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BA1F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0" w:after="0" w:beforeAutospacing="0" w:afterAutospacing="0"/>
        <w:ind w:firstLine="0" w:left="0" w:right="0"/>
        <w:jc w:val="center"/>
        <w:rPr>
          <w:rFonts w:ascii="Times New Roman" w:hAnsi="Times New Roman"/>
          <w:b w:val="1"/>
          <w:i w:val="0"/>
          <w:color w:val="auto"/>
          <w:sz w:val="28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auto"/>
          <w:sz w:val="28"/>
        </w:rPr>
        <w:t>АНАЛИТИЧЕСКАЯ СПРАВКА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по результатам мониторинга музыкального развития детей в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 xml:space="preserve">образовательной области  «Художественно-эстетическое развитие» (музыка)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 за 20</w:t>
      </w:r>
      <w:r>
        <w:rPr>
          <w:rFonts w:ascii="Times New Roman" w:hAnsi="Times New Roman"/>
          <w:b w:val="1"/>
          <w:i w:val="0"/>
          <w:color w:val="auto"/>
          <w:sz w:val="28"/>
        </w:rPr>
        <w:t>19</w:t>
      </w:r>
      <w:r>
        <w:rPr>
          <w:rFonts w:ascii="Times New Roman" w:hAnsi="Times New Roman"/>
          <w:b w:val="1"/>
          <w:i w:val="0"/>
          <w:color w:val="auto"/>
          <w:sz w:val="28"/>
        </w:rPr>
        <w:t>– 2023 учебные годы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 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Воспитательно-образовательный процесс  </w:t>
      </w:r>
      <w:r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  <w:t xml:space="preserve">осуществлялся  согласно Федеральтной образовательной программе дошкольного образования.  Образовательная деятельность осуществлялась два раза в неделю в каждой возрастной группе, соответствовала возрасту детей и нормам Сан Пин.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Отслеживание результатов музыкального развития детей на каждой возрастной группе проводилось по диагностике «Музыкальное развитие детей дошкольного возраста» С. И. Мерзляковой.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Музыкальный руководитель</w:t>
      </w:r>
      <w:r>
        <w:rPr>
          <w:rFonts w:ascii="Times New Roman" w:hAnsi="Times New Roman"/>
          <w:b w:val="1"/>
          <w:i w:val="0"/>
          <w:color w:val="auto"/>
          <w:sz w:val="28"/>
        </w:rPr>
        <w:t xml:space="preserve">: </w:t>
      </w:r>
      <w:r>
        <w:rPr>
          <w:rFonts w:ascii="Times New Roman" w:hAnsi="Times New Roman"/>
          <w:b w:val="1"/>
          <w:i w:val="0"/>
          <w:color w:val="auto"/>
          <w:sz w:val="28"/>
        </w:rPr>
        <w:t>Тинчурина</w:t>
      </w:r>
      <w:r>
        <w:rPr>
          <w:rFonts w:ascii="Times New Roman" w:hAnsi="Times New Roman"/>
          <w:b w:val="1"/>
          <w:i w:val="0"/>
          <w:color w:val="auto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auto"/>
          <w:sz w:val="28"/>
        </w:rPr>
        <w:t>Р</w:t>
      </w:r>
      <w:r>
        <w:rPr>
          <w:rFonts w:ascii="Times New Roman" w:hAnsi="Times New Roman"/>
          <w:b w:val="1"/>
          <w:i w:val="0"/>
          <w:color w:val="auto"/>
          <w:sz w:val="28"/>
        </w:rPr>
        <w:t>.</w:t>
      </w:r>
      <w:r>
        <w:rPr>
          <w:rFonts w:ascii="Times New Roman" w:hAnsi="Times New Roman"/>
          <w:b w:val="1"/>
          <w:i w:val="0"/>
          <w:color w:val="auto"/>
          <w:sz w:val="28"/>
        </w:rPr>
        <w:t>М</w:t>
      </w:r>
      <w:r>
        <w:rPr>
          <w:rFonts w:ascii="Times New Roman" w:hAnsi="Times New Roman"/>
          <w:b w:val="1"/>
          <w:i w:val="0"/>
          <w:color w:val="auto"/>
          <w:sz w:val="28"/>
        </w:rPr>
        <w:t>.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Сроки проведения: </w:t>
      </w:r>
      <w:r>
        <w:rPr>
          <w:rFonts w:ascii="Times New Roman" w:hAnsi="Times New Roman"/>
          <w:b w:val="0"/>
          <w:i w:val="0"/>
          <w:color w:val="auto"/>
          <w:sz w:val="28"/>
        </w:rPr>
        <w:t>вводная и итоговая педагогическая диагностика проводилась: в начале октября и в начале апреля с 20</w:t>
      </w:r>
      <w:r>
        <w:rPr>
          <w:rFonts w:ascii="Times New Roman" w:hAnsi="Times New Roman"/>
          <w:b w:val="0"/>
          <w:i w:val="0"/>
          <w:color w:val="auto"/>
          <w:sz w:val="28"/>
        </w:rPr>
        <w:t>19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по 202</w:t>
      </w:r>
      <w:r>
        <w:rPr>
          <w:rFonts w:ascii="Times New Roman" w:hAnsi="Times New Roman"/>
          <w:b w:val="0"/>
          <w:i w:val="0"/>
          <w:color w:val="auto"/>
          <w:sz w:val="28"/>
        </w:rPr>
        <w:t>0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года; в начале октября и в начале апреля с 202</w:t>
      </w:r>
      <w:r>
        <w:rPr>
          <w:rFonts w:ascii="Times New Roman" w:hAnsi="Times New Roman"/>
          <w:b w:val="0"/>
          <w:i w:val="0"/>
          <w:color w:val="auto"/>
          <w:sz w:val="28"/>
        </w:rPr>
        <w:t>0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по 202</w:t>
      </w:r>
      <w:r>
        <w:rPr>
          <w:rFonts w:ascii="Times New Roman" w:hAnsi="Times New Roman"/>
          <w:b w:val="0"/>
          <w:i w:val="0"/>
          <w:color w:val="auto"/>
          <w:sz w:val="28"/>
        </w:rPr>
        <w:t>1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года; в начале октября 202</w:t>
      </w:r>
      <w:r>
        <w:rPr>
          <w:rFonts w:ascii="Times New Roman" w:hAnsi="Times New Roman"/>
          <w:b w:val="0"/>
          <w:i w:val="0"/>
          <w:color w:val="auto"/>
          <w:sz w:val="28"/>
        </w:rPr>
        <w:t>1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и в начале апреля 202</w:t>
      </w:r>
      <w:r>
        <w:rPr>
          <w:rFonts w:ascii="Times New Roman" w:hAnsi="Times New Roman"/>
          <w:b w:val="0"/>
          <w:i w:val="0"/>
          <w:color w:val="auto"/>
          <w:sz w:val="28"/>
        </w:rPr>
        <w:t>2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года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, </w:t>
      </w:r>
      <w:r>
        <w:rPr>
          <w:rFonts w:ascii="Times New Roman" w:hAnsi="Times New Roman"/>
          <w:b w:val="0"/>
          <w:i w:val="0"/>
          <w:color w:val="auto"/>
          <w:sz w:val="28"/>
        </w:rPr>
        <w:t>в начале октяб</w:t>
      </w:r>
      <w:r>
        <w:rPr>
          <w:rFonts w:ascii="Times New Roman" w:hAnsi="Times New Roman"/>
          <w:b w:val="0"/>
          <w:i w:val="0"/>
          <w:color w:val="auto"/>
          <w:sz w:val="28"/>
        </w:rPr>
        <w:t>ря 2022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 и в начале мая 2023 года.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Цель мониторинга: </w:t>
      </w:r>
      <w:r>
        <w:rPr>
          <w:rFonts w:ascii="Times New Roman" w:hAnsi="Times New Roman"/>
          <w:b w:val="0"/>
          <w:i w:val="0"/>
          <w:color w:val="auto"/>
          <w:sz w:val="28"/>
        </w:rPr>
        <w:t>повышение</w:t>
      </w:r>
      <w:r>
        <w:rPr>
          <w:rFonts w:ascii="Times New Roman" w:hAnsi="Times New Roman"/>
          <w:b w:val="1"/>
          <w:i w:val="0"/>
          <w:color w:val="auto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8"/>
        </w:rPr>
        <w:t>музыкального развития детей дошкольного возраста.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Задачи мониторинга: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- изучить уровень музыкального развития детей дошкольного возраста;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- оценить эффективность педагогических действий;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- спроектировать образовательную деятельность с обучающимися на основе результатов педагогической диагностики (мониторинга).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Методы диагностики: </w:t>
      </w:r>
      <w:r>
        <w:rPr>
          <w:rFonts w:ascii="Times New Roman" w:hAnsi="Times New Roman"/>
          <w:b w:val="0"/>
          <w:i w:val="0"/>
          <w:color w:val="auto"/>
          <w:sz w:val="28"/>
        </w:rPr>
        <w:t>наблюдение, диагностические игровые и творческие задания, статистическая обработка информации. Мониторинг образовательной деятельности осуществлялся в рамках внутренней оценки качества дошкольного образования в Учреждении. Анализ осуществляется путем наблюдения за детьми во всех видах музыкальной деятельности: восприятие музыки, пение, музыка и движение, элементарное музицирование. В процессе диагностики получены следующие результаты.</w:t>
      </w:r>
    </w:p>
    <w:p>
      <w:pPr>
        <w:spacing w:before="0" w:after="0" w:beforeAutospacing="0" w:afterAutospacing="0"/>
        <w:ind w:firstLine="567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Объект мониторинга: </w:t>
      </w:r>
      <w:r>
        <w:rPr>
          <w:rFonts w:ascii="Times New Roman" w:hAnsi="Times New Roman"/>
          <w:b w:val="0"/>
          <w:i w:val="0"/>
          <w:color w:val="auto"/>
          <w:sz w:val="28"/>
        </w:rPr>
        <w:t>музыкальное развитие детей старшего дошкольного возраста</w:t>
      </w:r>
    </w:p>
    <w:p>
      <w:pPr>
        <w:spacing w:before="0" w:after="0" w:beforeAutospacing="0" w:afterAutospacing="0"/>
        <w:ind w:hanging="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 xml:space="preserve">   Предмет мониторинга:</w:t>
      </w:r>
      <w:r>
        <w:rPr>
          <w:rFonts w:ascii="Times New Roman" w:hAnsi="Times New Roman"/>
          <w:b w:val="0"/>
          <w:i w:val="0"/>
          <w:color w:val="auto"/>
          <w:sz w:val="28"/>
        </w:rPr>
        <w:t> дети дошкольного отделения Муниципального образовательного учреждения средней образовательной школы № 16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Исследовалось освоение детьми Образовательной программы Учреждения по </w:t>
      </w:r>
      <w:r>
        <w:rPr>
          <w:rFonts w:ascii="Times New Roman" w:hAnsi="Times New Roman"/>
          <w:b w:val="1"/>
          <w:i w:val="0"/>
          <w:color w:val="auto"/>
          <w:sz w:val="28"/>
        </w:rPr>
        <w:t>образовательной области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: художественно-эстетическое развитие ( музыка). В исследовании принимали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участие дети в возрасте 3-7 лет.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Предполагаемый результат мониторинга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 – повышение эффективности  музыкального развития детей дошкольного возраста.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Результат диагностики усвоения детьми разделов Образовательной программы определяются тремя уровнями: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- </w:t>
      </w:r>
      <w:r>
        <w:rPr>
          <w:rFonts w:ascii="Times New Roman" w:hAnsi="Times New Roman"/>
          <w:b w:val="0"/>
          <w:i w:val="1"/>
          <w:color w:val="auto"/>
          <w:sz w:val="28"/>
        </w:rPr>
        <w:t>высокий </w:t>
      </w:r>
      <w:r>
        <w:rPr>
          <w:rFonts w:ascii="Times New Roman" w:hAnsi="Times New Roman"/>
          <w:b w:val="0"/>
          <w:i w:val="0"/>
          <w:color w:val="auto"/>
          <w:sz w:val="28"/>
        </w:rPr>
        <w:t> уровень – выполняет задание самостоятельно;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- </w:t>
      </w:r>
      <w:r>
        <w:rPr>
          <w:rFonts w:ascii="Times New Roman" w:hAnsi="Times New Roman"/>
          <w:b w:val="0"/>
          <w:i w:val="1"/>
          <w:color w:val="auto"/>
          <w:sz w:val="28"/>
        </w:rPr>
        <w:t>средний уровень</w:t>
      </w:r>
      <w:r>
        <w:rPr>
          <w:rFonts w:ascii="Times New Roman" w:hAnsi="Times New Roman"/>
          <w:b w:val="0"/>
          <w:i w:val="0"/>
          <w:color w:val="auto"/>
          <w:sz w:val="28"/>
        </w:rPr>
        <w:t xml:space="preserve"> – выполняет  задание с помощью  взрослого;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- </w:t>
      </w:r>
      <w:r>
        <w:rPr>
          <w:rFonts w:ascii="Times New Roman" w:hAnsi="Times New Roman"/>
          <w:b w:val="0"/>
          <w:i w:val="1"/>
          <w:color w:val="auto"/>
          <w:sz w:val="28"/>
        </w:rPr>
        <w:t>низкий уровень</w:t>
      </w:r>
      <w:r>
        <w:rPr>
          <w:rFonts w:ascii="Times New Roman" w:hAnsi="Times New Roman"/>
          <w:b w:val="0"/>
          <w:i w:val="0"/>
          <w:color w:val="auto"/>
          <w:sz w:val="28"/>
        </w:rPr>
        <w:t> – не может выполнить задание самостоятельно и с помощью взрослого.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 xml:space="preserve">Педагогическая диагностика (мониторинг) проводилась  с целью повышения эффективности музыкального развития детей дошкольного возраста.  Результаты мониторинга </w:t>
      </w:r>
      <w:r>
        <w:rPr>
          <w:rFonts w:ascii="Times New Roman" w:hAnsi="Times New Roman"/>
          <w:b w:val="0"/>
          <w:sz w:val="28"/>
        </w:rPr>
        <w:t xml:space="preserve"> музыкального развития детей дошкольного возраста  в образовательной области  «Художественно-эстетическое развитие» (музыка).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20"/>
        <w:jc w:val="right"/>
        <w:rPr>
          <w:rFonts w:ascii="Times New Roman" w:hAnsi="Times New Roman"/>
          <w:b w:val="1"/>
          <w:sz w:val="28"/>
        </w:rPr>
      </w:pP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20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Таблица 1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20"/>
        <w:jc w:val="center"/>
        <w:rPr>
          <w:rFonts w:ascii="Arial" w:hAnsi="Arial"/>
          <w:b w:val="0"/>
          <w:sz w:val="16"/>
        </w:rPr>
      </w:pPr>
      <w:r>
        <w:rPr>
          <w:rFonts w:ascii="Times New Roman" w:hAnsi="Times New Roman"/>
          <w:b w:val="1"/>
          <w:sz w:val="28"/>
        </w:rPr>
        <w:t xml:space="preserve">Результаты мониторинга  музыкального развития детей дошкольного возраста  в образовательной области  «Художественно-эстетическое развитие» (музыка) в 20</w:t>
      </w:r>
      <w:r>
        <w:rPr>
          <w:rFonts w:ascii="Times New Roman" w:hAnsi="Times New Roman"/>
          <w:b w:val="1"/>
          <w:sz w:val="28"/>
        </w:rPr>
        <w:t>19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</w:p>
    <w:tbl>
      <w:tblPr>
        <w:tblW w:w="10650" w:type="dxa"/>
        <w:jc w:val="left"/>
        <w:tblInd w:w="13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380"/>
        </w:trPr>
        <w:tc>
          <w:tcPr>
            <w:tcW w:w="3329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br w:type="textWrapping"/>
              <w:t>Группа</w:t>
            </w:r>
          </w:p>
        </w:tc>
        <w:tc>
          <w:tcPr>
            <w:tcW w:w="3485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16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Начало года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(кол-во детей / %)</w:t>
            </w:r>
          </w:p>
        </w:tc>
        <w:tc>
          <w:tcPr>
            <w:tcW w:w="3583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16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Конец года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(кол-во детей / %)</w:t>
            </w:r>
          </w:p>
        </w:tc>
      </w:tr>
      <w:tr>
        <w:trPr>
          <w:trHeight w:hRule="atLeast" w:val="766"/>
        </w:trPr>
        <w:tc>
          <w:tcPr>
            <w:tcW w:w="3329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ind w:left="0" w:right="0"/>
              <w:rPr>
                <w:rFonts w:ascii="Arial" w:hAnsi="Arial"/>
                <w:b w:val="0"/>
                <w:i w:val="0"/>
                <w:color w:val="auto"/>
                <w:sz w:val="16"/>
              </w:rPr>
            </w:pP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16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Низкий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уровень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Средний уровень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Высокий уровень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Низкий уровень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Средний уровень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4"/>
                <w:shd w:val="clear" w:fill="FFFFFF"/>
              </w:rPr>
              <w:t>Высокий уровень</w:t>
            </w:r>
          </w:p>
        </w:tc>
      </w:tr>
      <w:tr>
        <w:trPr>
          <w:trHeight w:hRule="atLeast" w:val="885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Младшая группа (3-4 года)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16,4%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63,5%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10,1%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6,4%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53,5%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40,1%</w:t>
            </w:r>
          </w:p>
        </w:tc>
      </w:tr>
      <w:tr>
        <w:trPr>
          <w:trHeight w:hRule="atLeast" w:val="860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 Средняя группа (4-5 лет)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17,1%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68,4%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24,5 %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7,1%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48,4%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44,5%</w:t>
            </w:r>
          </w:p>
        </w:tc>
      </w:tr>
      <w:tr>
        <w:trPr>
          <w:trHeight w:hRule="atLeast" w:val="949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Старшая группа (5-6 лет)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27,5%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65,7%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7,8%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7,5%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45,7%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auto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4"/>
                <w:shd w:val="clear" w:fill="FFFFFF"/>
              </w:rPr>
              <w:t>47,8%</w:t>
            </w:r>
          </w:p>
        </w:tc>
      </w:tr>
      <w:tr>
        <w:trPr>
          <w:trHeight w:hRule="atLeast" w:val="900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 Подготовительная группа (6-7 лет)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20%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70%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10%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5%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45%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50%</w:t>
            </w:r>
          </w:p>
        </w:tc>
      </w:tr>
      <w:tr>
        <w:trPr>
          <w:trHeight w:hRule="atLeast" w:val="839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Итого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20,5%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66%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13,5%</w:t>
            </w:r>
          </w:p>
        </w:tc>
        <w:tc>
          <w:tcPr>
            <w:tcW w:w="1131" w:type="dxa"/>
            <w:tcBorders>
              <w:top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6,5%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48,5%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45%</w:t>
            </w:r>
          </w:p>
        </w:tc>
      </w:tr>
    </w:tbl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auto"/>
          <w:sz w:val="28"/>
        </w:rPr>
      </w:pP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20" w:left="0" w:right="0"/>
        <w:jc w:val="right"/>
        <w:rPr>
          <w:rFonts w:ascii="Times New Roman" w:hAnsi="Times New Roman"/>
          <w:b w:val="1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Таблица 2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20" w:left="0" w:right="0"/>
        <w:jc w:val="center"/>
        <w:rPr>
          <w:color w:val="auto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Сравнительный анализ усвоения программного материала по образовательной области «Музыка» начало и конец 20</w:t>
      </w:r>
      <w:r>
        <w:rPr>
          <w:rFonts w:ascii="Times New Roman" w:hAnsi="Times New Roman"/>
          <w:b w:val="1"/>
          <w:i w:val="0"/>
          <w:color w:val="auto"/>
          <w:sz w:val="28"/>
        </w:rPr>
        <w:t>19</w:t>
      </w:r>
      <w:r>
        <w:rPr>
          <w:rFonts w:ascii="Times New Roman" w:hAnsi="Times New Roman"/>
          <w:b w:val="1"/>
          <w:i w:val="0"/>
          <w:color w:val="auto"/>
          <w:sz w:val="28"/>
        </w:rPr>
        <w:t>/202</w:t>
      </w:r>
      <w:r>
        <w:rPr>
          <w:rFonts w:ascii="Times New Roman" w:hAnsi="Times New Roman"/>
          <w:b w:val="1"/>
          <w:i w:val="0"/>
          <w:color w:val="auto"/>
          <w:sz w:val="28"/>
        </w:rPr>
        <w:t>0</w:t>
      </w:r>
      <w:r>
        <w:rPr>
          <w:rFonts w:ascii="Times New Roman" w:hAnsi="Times New Roman"/>
          <w:b w:val="1"/>
          <w:i w:val="0"/>
          <w:color w:val="auto"/>
          <w:sz w:val="28"/>
        </w:rPr>
        <w:t xml:space="preserve"> учебного года</w:t>
      </w:r>
      <w:r>
        <w:rPr>
          <w:color w:val="auto"/>
        </w:rPr>
        <w:t xml:space="preserve"> </w:t>
      </w:r>
    </w:p>
    <w:tbl>
      <w:tblPr>
        <w:tblW w:w="10650" w:type="dxa"/>
        <w:tblInd w:w="-10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26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Показатели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Группы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Низкий уровень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октябрь - май</w:t>
            </w:r>
          </w:p>
        </w:tc>
        <w:tc>
          <w:tcPr>
            <w:tcW w:w="2567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Средний уровень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октябрь - май</w:t>
            </w:r>
          </w:p>
        </w:tc>
        <w:tc>
          <w:tcPr>
            <w:tcW w:w="2567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Высокий уровень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auto"/>
                <w:sz w:val="28"/>
              </w:rPr>
              <w:t>октябрь - май</w:t>
            </w:r>
          </w:p>
        </w:tc>
      </w:tr>
      <w:t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Младшая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16,4% - 6,4%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63,5% - 53,5%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10,1% - 40,1%</w:t>
            </w:r>
          </w:p>
        </w:tc>
      </w:tr>
      <w:tr>
        <w:trPr>
          <w:trHeight w:hRule="atLeast" w:val="459"/>
        </w:trP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Средняя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17,1% - 7,1%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68,4% - 48,4%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24,5% - 44,5%</w:t>
            </w:r>
          </w:p>
        </w:tc>
      </w:tr>
      <w:tr>
        <w:trPr>
          <w:trHeight w:hRule="atLeast" w:val="357"/>
        </w:trP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15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Старшая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27,5% - 7,5%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65,7% - 45,7%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7,8% - 47,8%</w:t>
            </w:r>
          </w:p>
        </w:tc>
      </w:tr>
      <w:tr>
        <w:trPr>
          <w:trHeight w:hRule="atLeast" w:val="357"/>
        </w:trP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15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Подготовит.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20% - 5%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70% - 45%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auto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  <w:sz w:val="28"/>
              </w:rPr>
              <w:t>10% - 50%</w:t>
            </w:r>
          </w:p>
        </w:tc>
      </w:tr>
    </w:tbl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auto"/>
          <w:sz w:val="28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08" w:left="0" w:right="0"/>
        <w:jc w:val="both"/>
        <w:rPr>
          <w:rFonts w:ascii="Arial" w:hAnsi="Arial"/>
          <w:b w:val="0"/>
          <w:i w:val="0"/>
          <w:color w:val="333333"/>
          <w:sz w:val="16"/>
        </w:rPr>
      </w:pPr>
      <w:r>
        <w:rPr>
          <w:rFonts w:ascii="Times New Roman" w:hAnsi="Times New Roman"/>
          <w:b w:val="0"/>
          <w:i w:val="0"/>
          <w:color w:val="auto"/>
          <w:sz w:val="28"/>
        </w:rPr>
        <w:t>По результатам диагностики уровня музыкального развития можно сделать вывод</w:t>
      </w:r>
      <w:bookmarkStart w:id="1" w:name="_Hlk129009950"/>
      <w:bookmarkEnd w:id="1"/>
      <w:r>
        <w:rPr>
          <w:rFonts w:ascii="Times New Roman" w:hAnsi="Times New Roman"/>
          <w:b w:val="0"/>
          <w:i w:val="0"/>
          <w:color w:val="auto"/>
          <w:sz w:val="28"/>
        </w:rPr>
        <w:t xml:space="preserve"> о том, что большинство д</w:t>
      </w:r>
      <w:r>
        <w:rPr>
          <w:rFonts w:ascii="Times New Roman" w:hAnsi="Times New Roman"/>
          <w:b w:val="0"/>
          <w:i w:val="0"/>
          <w:color w:val="333333"/>
          <w:sz w:val="28"/>
        </w:rPr>
        <w:t>етей </w:t>
      </w: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 xml:space="preserve">нучились внимательно слушать музыку, эмоционально и радостно откликаться на выраженные в ней чувства и настроения, слышать в музыке изобразительные моменты, соответствующие названию пьесы, узнавать их характерные образы. Однако, некоторые дети затрудняются выразительно и ритмично двигаться под музыку, отказываются  участвовать в выполнении творческих заданий, не умеют играть на детских музыкальных инструментах.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333333"/>
          <w:sz w:val="28"/>
        </w:rPr>
        <w:t>Рекомендации:</w:t>
      </w:r>
      <w:r>
        <w:rPr>
          <w:rFonts w:ascii="Times New Roman" w:hAnsi="Times New Roman"/>
          <w:b w:val="0"/>
          <w:i w:val="0"/>
          <w:color w:val="333333"/>
          <w:sz w:val="28"/>
        </w:rPr>
        <w:t> продолжать использовать</w:t>
      </w: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 xml:space="preserve"> дидактические и творческие  игры не только на специально организованный занятиях музыкой, но и в свободной деятельности в  группе,  проводить индивидуальные занятия с детьми.  </w:t>
      </w:r>
      <w:r>
        <w:rPr>
          <w:rFonts w:ascii="Times New Roman" w:hAnsi="Times New Roman"/>
          <w:b w:val="0"/>
          <w:i w:val="0"/>
          <w:color w:val="333333"/>
          <w:sz w:val="28"/>
        </w:rPr>
        <w:t> </w:t>
      </w: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> Продолжать работу по формированию общей музыкальной культуры, уделять внимание творческой деятельности детей.  Продолжать создавать условия для дальнейшего развития музыкальных способностей.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right"/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Таблица 3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auto"/>
          <w:sz w:val="28"/>
          <w:shd w:val="clear" w:fill="FFFFFF"/>
        </w:rPr>
      </w:pPr>
    </w:p>
    <w:p>
      <w:pPr>
        <w:spacing w:lineRule="auto" w:line="240" w:after="0" w:beforeAutospacing="0" w:afterAutospacing="0"/>
        <w:ind w:firstLine="720"/>
        <w:jc w:val="center"/>
        <w:rPr>
          <w:rFonts w:ascii="Arial" w:hAnsi="Arial"/>
          <w:sz w:val="16"/>
        </w:rPr>
      </w:pPr>
      <w:r>
        <w:rPr>
          <w:rFonts w:ascii="Times New Roman" w:hAnsi="Times New Roman"/>
          <w:b w:val="1"/>
          <w:sz w:val="28"/>
        </w:rPr>
        <w:t xml:space="preserve">Результаты мониторинга  музыкального развития детей дошкольного возраста  в образовательной области  «Художественно-эстетическое развитие» (музыка) в 202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center"/>
        <w:rPr>
          <w:color w:val="auto"/>
        </w:rPr>
      </w:pPr>
    </w:p>
    <w:tbl>
      <w:tblPr>
        <w:tblW w:w="10650" w:type="dxa"/>
        <w:jc w:val="left"/>
        <w:tblInd w:w="13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380"/>
        </w:trPr>
        <w:tc>
          <w:tcPr>
            <w:tcW w:w="3329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br w:type="textWrapping"/>
              <w:t>Группа</w:t>
            </w:r>
          </w:p>
        </w:tc>
        <w:tc>
          <w:tcPr>
            <w:tcW w:w="3485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Начало года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(кол-во детей / %)</w:t>
            </w:r>
          </w:p>
        </w:tc>
        <w:tc>
          <w:tcPr>
            <w:tcW w:w="3583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Конец года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(кол-во детей / %)</w:t>
            </w:r>
          </w:p>
        </w:tc>
      </w:tr>
      <w:tr>
        <w:trPr>
          <w:trHeight w:hRule="atLeast" w:val="766"/>
        </w:trPr>
        <w:tc>
          <w:tcPr>
            <w:tcW w:w="3329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ind w:left="0" w:right="0"/>
              <w:rPr>
                <w:rFonts w:ascii="Arial" w:hAnsi="Arial"/>
                <w:b w:val="0"/>
                <w:i w:val="0"/>
                <w:color w:val="333333"/>
                <w:sz w:val="16"/>
              </w:rPr>
            </w:pP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Низкий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уровень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Средний уровень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Высокий уровень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Низкий уровень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Средний уровень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Высокий уровень</w:t>
            </w:r>
          </w:p>
        </w:tc>
      </w:tr>
      <w:tr>
        <w:trPr>
          <w:trHeight w:hRule="atLeast" w:val="885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Младшая группа (3-4 года)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27,4%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64,5%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8,1%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3,4%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58,5%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38,1%</w:t>
            </w:r>
          </w:p>
        </w:tc>
      </w:tr>
      <w:tr>
        <w:trPr>
          <w:trHeight w:hRule="atLeast" w:val="1023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 Средняя группа (4-5 лет)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18,9%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62,6%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18,5 %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3,9%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47,6%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48,5%</w:t>
            </w:r>
          </w:p>
        </w:tc>
      </w:tr>
      <w:tr>
        <w:trPr>
          <w:trHeight w:hRule="atLeast" w:val="949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Старшая группа (5-6 лет)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25,5%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67%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7,5%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5,5%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47%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47,5%</w:t>
            </w:r>
          </w:p>
        </w:tc>
      </w:tr>
      <w:tr>
        <w:trPr>
          <w:trHeight w:hRule="atLeast" w:val="900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 Подготовительная группа (6-7 лет)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20%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68%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12%</w:t>
            </w:r>
          </w:p>
        </w:tc>
        <w:tc>
          <w:tcPr>
            <w:tcW w:w="1131" w:type="dxa"/>
            <w:tcBorders>
              <w:top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4,5%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45,7%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49,8%</w:t>
            </w:r>
          </w:p>
        </w:tc>
      </w:tr>
      <w:tr>
        <w:trPr>
          <w:trHeight w:hRule="atLeast" w:val="839"/>
        </w:trPr>
        <w:tc>
          <w:tcPr>
            <w:tcW w:w="332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Итого</w:t>
            </w:r>
          </w:p>
        </w:tc>
        <w:tc>
          <w:tcPr>
            <w:tcW w:w="121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23,7%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63,6%</w:t>
            </w:r>
          </w:p>
        </w:tc>
        <w:tc>
          <w:tcPr>
            <w:tcW w:w="1134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12,7%</w:t>
            </w:r>
          </w:p>
        </w:tc>
        <w:tc>
          <w:tcPr>
            <w:tcW w:w="1131" w:type="dxa"/>
            <w:tcBorders>
              <w:top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5%</w:t>
            </w:r>
          </w:p>
        </w:tc>
        <w:tc>
          <w:tcPr>
            <w:tcW w:w="1137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49,3%</w:t>
            </w:r>
          </w:p>
        </w:tc>
        <w:tc>
          <w:tcPr>
            <w:tcW w:w="1315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45,7%</w:t>
            </w:r>
          </w:p>
        </w:tc>
      </w:tr>
    </w:tbl>
    <w:p>
      <w:pPr>
        <w:spacing w:before="0" w:after="160" w:beforeAutospacing="0" w:afterAutospacing="0"/>
        <w:ind w:firstLine="0" w:left="0" w:right="-284"/>
        <w:jc w:val="right"/>
        <w:rPr>
          <w:rFonts w:ascii="Times New Roman" w:hAnsi="Times New Roman"/>
          <w:b w:val="1"/>
          <w:i w:val="0"/>
          <w:color w:val="333333"/>
          <w:sz w:val="28"/>
        </w:rPr>
      </w:pPr>
      <w:r>
        <w:rPr>
          <w:rFonts w:ascii="Times New Roman" w:hAnsi="Times New Roman"/>
          <w:b w:val="1"/>
          <w:i w:val="0"/>
          <w:color w:val="333333"/>
          <w:sz w:val="28"/>
        </w:rPr>
        <w:t> </w:t>
      </w:r>
    </w:p>
    <w:p>
      <w:pPr>
        <w:spacing w:before="0" w:after="160" w:beforeAutospacing="0" w:afterAutospacing="0"/>
        <w:ind w:firstLine="0" w:left="0" w:right="-284"/>
        <w:jc w:val="right"/>
        <w:rPr>
          <w:rFonts w:ascii="Arial" w:hAnsi="Arial"/>
          <w:b w:val="0"/>
          <w:i w:val="0"/>
          <w:color w:val="auto"/>
          <w:sz w:val="16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Таблица 4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center"/>
        <w:rPr>
          <w:rFonts w:ascii="Times New Roman" w:hAnsi="Times New Roman"/>
          <w:b w:val="1"/>
          <w:i w:val="0"/>
          <w:color w:val="auto"/>
          <w:sz w:val="28"/>
        </w:rPr>
      </w:pPr>
      <w:r>
        <w:rPr>
          <w:rFonts w:ascii="Times New Roman" w:hAnsi="Times New Roman"/>
          <w:b w:val="1"/>
          <w:i w:val="0"/>
          <w:color w:val="auto"/>
          <w:sz w:val="28"/>
        </w:rPr>
        <w:t>Сравнительный анализ усвоения программного материала по образовательной области «Музыка» на начало и конец 202</w:t>
      </w:r>
      <w:r>
        <w:rPr>
          <w:rFonts w:ascii="Times New Roman" w:hAnsi="Times New Roman"/>
          <w:b w:val="1"/>
          <w:i w:val="0"/>
          <w:color w:val="auto"/>
          <w:sz w:val="28"/>
        </w:rPr>
        <w:t>0</w:t>
      </w:r>
      <w:r>
        <w:rPr>
          <w:rFonts w:ascii="Times New Roman" w:hAnsi="Times New Roman"/>
          <w:b w:val="1"/>
          <w:i w:val="0"/>
          <w:color w:val="auto"/>
          <w:sz w:val="28"/>
        </w:rPr>
        <w:t>/ 202</w:t>
      </w:r>
      <w:r>
        <w:rPr>
          <w:rFonts w:ascii="Times New Roman" w:hAnsi="Times New Roman"/>
          <w:b w:val="1"/>
          <w:i w:val="0"/>
          <w:color w:val="auto"/>
          <w:sz w:val="28"/>
        </w:rPr>
        <w:t>1</w:t>
      </w:r>
      <w:r>
        <w:rPr>
          <w:rFonts w:ascii="Times New Roman" w:hAnsi="Times New Roman"/>
          <w:b w:val="1"/>
          <w:i w:val="0"/>
          <w:color w:val="auto"/>
          <w:sz w:val="28"/>
        </w:rPr>
        <w:t xml:space="preserve"> учебного года</w:t>
      </w:r>
    </w:p>
    <w:tbl>
      <w:tblPr>
        <w:tblW w:w="10650" w:type="dxa"/>
        <w:tblInd w:w="-10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2628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Показатели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Группы</w:t>
            </w:r>
          </w:p>
        </w:tc>
        <w:tc>
          <w:tcPr>
            <w:tcW w:w="2506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Низкий уровень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октябрь - май</w:t>
            </w:r>
          </w:p>
        </w:tc>
        <w:tc>
          <w:tcPr>
            <w:tcW w:w="2567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Средний уровень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октябрь - май</w:t>
            </w:r>
          </w:p>
        </w:tc>
        <w:tc>
          <w:tcPr>
            <w:tcW w:w="2567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Высокий уровень</w:t>
            </w:r>
          </w:p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</w:rPr>
              <w:t>октябрь - май</w:t>
            </w:r>
          </w:p>
        </w:tc>
      </w:tr>
      <w:t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Младшая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27,4% - 3,4%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64,5% - 58,5%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8,1% - 38,1%</w:t>
            </w:r>
          </w:p>
        </w:tc>
      </w:tr>
      <w:tr>
        <w:trPr>
          <w:trHeight w:hRule="atLeast" w:val="459"/>
        </w:trP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Средняя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18,9% - 4,5%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62,6% - 47,6%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18,5% - 48,5%</w:t>
            </w:r>
          </w:p>
        </w:tc>
      </w:tr>
      <w:tr>
        <w:trPr>
          <w:trHeight w:hRule="atLeast" w:val="357"/>
        </w:trP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Старшая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25,5% - 4,5%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67% - 47%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7,5% - 47,5%</w:t>
            </w:r>
          </w:p>
        </w:tc>
      </w:tr>
      <w:tr>
        <w:trPr>
          <w:trHeight w:hRule="atLeast" w:val="357"/>
        </w:trPr>
        <w:tc>
          <w:tcPr>
            <w:tcW w:w="2628" w:type="dxa"/>
            <w:tcBorders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Подготовит. гр.</w:t>
            </w:r>
          </w:p>
        </w:tc>
        <w:tc>
          <w:tcPr>
            <w:tcW w:w="2506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20% - 3,9%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68% - 45,7%</w:t>
            </w:r>
          </w:p>
        </w:tc>
        <w:tc>
          <w:tcPr>
            <w:tcW w:w="2567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tLeast" w:line="200" w:before="0" w:after="0" w:beforeAutospacing="0" w:afterAutospacing="0"/>
              <w:ind w:left="0" w:right="0"/>
              <w:jc w:val="both"/>
              <w:rPr>
                <w:rFonts w:ascii="Arial" w:hAnsi="Arial"/>
                <w:b w:val="0"/>
                <w:i w:val="0"/>
                <w:color w:val="333333"/>
                <w:sz w:val="14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</w:rPr>
              <w:t>12% - 49,8%</w:t>
            </w:r>
          </w:p>
        </w:tc>
      </w:tr>
    </w:tbl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</w:rPr>
      </w:pP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both"/>
        <w:rPr>
          <w:rFonts w:ascii="Arial" w:hAnsi="Arial"/>
          <w:b w:val="0"/>
          <w:i w:val="0"/>
          <w:color w:val="333333"/>
          <w:sz w:val="16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> Большая часть д</w:t>
      </w: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 xml:space="preserve">етей  стали более уверенными, инициативными, эмоционально отзывчивыми, проявляют самостоятельность. Называют любимые произведения, узнают музыку по фрагментам. Воплощают художественный образ в музыкальность деятельность. Следует отметить, что у некоторых  детей недостаточно хорошо развит ритмический и музыкальный слух.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333333"/>
          <w:sz w:val="28"/>
        </w:rPr>
        <w:t>Рекомендации:</w:t>
      </w:r>
      <w:r>
        <w:rPr>
          <w:rFonts w:ascii="Times New Roman" w:hAnsi="Times New Roman"/>
          <w:b w:val="0"/>
          <w:i w:val="0"/>
          <w:color w:val="333333"/>
          <w:sz w:val="28"/>
        </w:rPr>
        <w:t>  продолжать</w:t>
      </w: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> применять музыкально-дидактические и творческие игры, использовать ИКТ для развития музыкального слуха детей.  Продолжать работу по формированию общей музыкальной культуры, уделять внимание творческой деятельности детей.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right"/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  <w:t>Таблица 5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</w:pPr>
    </w:p>
    <w:p>
      <w:pPr>
        <w:spacing w:lineRule="auto" w:line="240" w:after="0" w:beforeAutospacing="0" w:afterAutospacing="0"/>
        <w:ind w:firstLine="720"/>
        <w:jc w:val="center"/>
        <w:rPr>
          <w:rFonts w:ascii="Arial" w:hAnsi="Arial"/>
          <w:sz w:val="16"/>
        </w:rPr>
      </w:pPr>
      <w:r>
        <w:rPr>
          <w:rFonts w:ascii="Times New Roman" w:hAnsi="Times New Roman"/>
          <w:b w:val="1"/>
          <w:sz w:val="28"/>
        </w:rPr>
        <w:t xml:space="preserve">Результаты мониторинга  музыкального развития детей дошкольного возраста  в образовательной области  «Художественно-эстетическое развитие» (музыка) в 202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>
      <w:pPr>
        <w:spacing w:lineRule="auto" w:line="240" w:after="0" w:beforeAutospacing="0" w:afterAutospacing="0"/>
        <w:ind w:firstLine="720"/>
        <w:jc w:val="center"/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center"/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</w:pPr>
    </w:p>
    <w:tbl>
      <w:tblPr>
        <w:tblW w:w="10075" w:type="dxa"/>
        <w:jc w:val="left"/>
        <w:tblInd w:w="13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766"/>
        </w:trPr>
        <w:tc>
          <w:tcPr>
            <w:tcW w:w="4546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Группа</w:t>
            </w:r>
          </w:p>
        </w:tc>
        <w:tc>
          <w:tcPr>
            <w:tcW w:w="552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Начало года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(кол-во детей / %)</w:t>
            </w:r>
          </w:p>
        </w:tc>
      </w:tr>
      <w:tr>
        <w:trPr>
          <w:trHeight w:hRule="atLeast" w:val="766"/>
        </w:trPr>
        <w:tc>
          <w:tcPr>
            <w:tcW w:w="4546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 w:right="0"/>
              <w:rPr>
                <w:rFonts w:ascii="Arial" w:hAnsi="Arial"/>
                <w:b w:val="0"/>
                <w:i w:val="0"/>
                <w:color w:val="333333"/>
                <w:sz w:val="16"/>
              </w:rPr>
            </w:pP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Низкий</w:t>
            </w:r>
          </w:p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уровень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Средний уровень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Высокий уровень</w:t>
            </w:r>
          </w:p>
        </w:tc>
      </w:tr>
      <w:tr>
        <w:trPr>
          <w:trHeight w:hRule="atLeast" w:val="885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Младшая группа (3-4 года)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20%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70,5%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9,5%</w:t>
            </w:r>
          </w:p>
        </w:tc>
      </w:tr>
      <w:tr>
        <w:trPr>
          <w:trHeight w:hRule="atLeast" w:val="1023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 Средняя группа (4-5 лет)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23,9%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65,5%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10,6 %</w:t>
            </w:r>
          </w:p>
        </w:tc>
      </w:tr>
      <w:tr>
        <w:trPr>
          <w:trHeight w:hRule="atLeast" w:val="949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Старшая группа (5-6 лет)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11,5%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68%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20,5%</w:t>
            </w:r>
          </w:p>
        </w:tc>
      </w:tr>
      <w:tr>
        <w:trPr>
          <w:trHeight w:hRule="atLeast" w:val="900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 Подготовительная группа (6-7 лет)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18%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62,5%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19,5%</w:t>
            </w:r>
          </w:p>
        </w:tc>
      </w:tr>
      <w:tr>
        <w:trPr>
          <w:trHeight w:hRule="atLeast" w:val="839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Итого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17,9%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66,5%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shd w:val="clear" w:fill="FFFFFF"/>
              <w:spacing w:lineRule="atLeast" w:line="200" w:before="0" w:after="0" w:beforeAutospacing="0" w:afterAutospacing="0"/>
              <w:ind w:left="0" w:right="0"/>
              <w:jc w:val="center"/>
              <w:rPr>
                <w:rFonts w:ascii="Arial" w:hAnsi="Arial"/>
                <w:b w:val="0"/>
                <w:i w:val="0"/>
                <w:color w:val="333333"/>
                <w:sz w:val="14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1"/>
                <w:color w:val="333333"/>
                <w:sz w:val="28"/>
                <w:shd w:val="clear" w:fill="FFFFFF"/>
              </w:rPr>
              <w:t>15,6%</w:t>
            </w:r>
          </w:p>
        </w:tc>
      </w:tr>
    </w:tbl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  <w:t> 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right"/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  <w:t>Т</w:t>
      </w:r>
      <w:r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  <w:t>а</w:t>
      </w:r>
      <w:r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  <w:t>блица</w:t>
      </w:r>
      <w:r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  <w:t xml:space="preserve"> 6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right"/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Сравнительный анализ усвоения программного материала по образовательной области «Музыка» на начало и конец 202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/ 202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учебного 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1"/>
          <w:sz w:val="28"/>
        </w:rPr>
      </w:pPr>
    </w:p>
    <w:tbl>
      <w:tblPr>
        <w:tblStyle w:val="T1"/>
        <w:tblW w:w="0" w:type="auto"/>
        <w:tblLook w:val="04A0"/>
      </w:tblPr>
      <w:tblGrid/>
      <w:tr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Показатели группы</w:t>
            </w:r>
          </w:p>
        </w:tc>
        <w:tc>
          <w:tcPr>
            <w:tcW w:w="2476" w:type="dxa"/>
          </w:tcPr>
          <w:p>
            <w:pPr>
              <w:spacing w:lineRule="atLeast" w:line="200" w:after="0" w:beforeAutospacing="0" w:afterAutospacing="0"/>
              <w:jc w:val="both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Низкий уровень</w:t>
            </w:r>
          </w:p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октябрь - май</w:t>
            </w:r>
          </w:p>
        </w:tc>
        <w:tc>
          <w:tcPr>
            <w:tcW w:w="2477" w:type="dxa"/>
          </w:tcPr>
          <w:p>
            <w:pPr>
              <w:spacing w:lineRule="atLeast" w:line="200" w:after="0" w:beforeAutospacing="0" w:afterAutospacing="0"/>
              <w:jc w:val="both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Средний уровень</w:t>
            </w:r>
          </w:p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октябрь - май</w:t>
            </w:r>
          </w:p>
        </w:tc>
        <w:tc>
          <w:tcPr>
            <w:tcW w:w="2477" w:type="dxa"/>
          </w:tcPr>
          <w:p>
            <w:pPr>
              <w:spacing w:lineRule="atLeast" w:line="200" w:after="0" w:beforeAutospacing="0" w:afterAutospacing="0"/>
              <w:jc w:val="both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Высокий уровень</w:t>
            </w:r>
          </w:p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октябрь - май</w:t>
            </w:r>
          </w:p>
        </w:tc>
      </w:tr>
      <w:tr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Младшая группа</w:t>
            </w:r>
          </w:p>
        </w:tc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 xml:space="preserve">      24, 4-3,8%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60,4-56%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7,4 - 36,8%</w:t>
            </w:r>
          </w:p>
        </w:tc>
      </w:tr>
      <w:tr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Средняя группа</w:t>
            </w:r>
          </w:p>
        </w:tc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17,9-6,3%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67,6-45,2%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17,7-46,6%</w:t>
            </w:r>
          </w:p>
        </w:tc>
      </w:tr>
      <w:tr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Старшая группа</w:t>
            </w:r>
          </w:p>
        </w:tc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24,7-4,8%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65-43%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7,7-48,2</w:t>
            </w:r>
          </w:p>
        </w:tc>
      </w:tr>
      <w:tr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1"/>
                <w:i w:val="0"/>
                <w:color w:val="333333"/>
                <w:sz w:val="28"/>
                <w:shd w:val="clear" w:fill="FFFFFF"/>
              </w:rPr>
              <w:t>Подготовительная группа</w:t>
            </w:r>
          </w:p>
        </w:tc>
        <w:tc>
          <w:tcPr>
            <w:tcW w:w="2476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21-3,7%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69-44,5%</w:t>
            </w:r>
          </w:p>
        </w:tc>
        <w:tc>
          <w:tcPr>
            <w:tcW w:w="2477" w:type="dxa"/>
          </w:tcPr>
          <w:p>
            <w:pPr>
              <w:keepNext w:val="0"/>
              <w:widowControl w:val="1"/>
              <w:shd w:val="clear" w:fill="auto"/>
              <w:spacing w:lineRule="auto" w:line="240" w:before="0" w:after="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</w:pPr>
            <w:r>
              <w:rPr>
                <w:rFonts w:ascii="Times New Roman" w:hAnsi="Times New Roman"/>
                <w:b w:val="0"/>
                <w:i w:val="0"/>
                <w:color w:val="333333"/>
                <w:sz w:val="28"/>
                <w:shd w:val="clear" w:fill="FFFFFF"/>
              </w:rPr>
              <w:t>13-48,3%</w:t>
            </w:r>
          </w:p>
        </w:tc>
      </w:tr>
    </w:tbl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1"/>
          <w:i w:val="0"/>
          <w:color w:val="333333"/>
          <w:sz w:val="28"/>
          <w:shd w:val="clear" w:fill="FFFFFF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right"/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</w:pP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 xml:space="preserve"> Дети  стали активно принимать участие в творческих играх, которые предполагают придумывание художественного образа, сочинение песни, танцевальных движений, проявлять самостоятельность и инициативу в музыкальной деятельности.  Однако, есть те дети, которые  проявляют интерес только к определённому виду деятельности, не активны, нерешительны в своих действиях.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</w:rPr>
      </w:pPr>
      <w:r>
        <w:rPr>
          <w:rFonts w:ascii="Times New Roman" w:hAnsi="Times New Roman"/>
          <w:b w:val="1"/>
          <w:i w:val="0"/>
          <w:color w:val="333333"/>
          <w:sz w:val="28"/>
        </w:rPr>
        <w:t>Рекомендации:</w:t>
      </w:r>
      <w:r>
        <w:rPr>
          <w:rFonts w:ascii="Times New Roman" w:hAnsi="Times New Roman"/>
          <w:b w:val="0"/>
          <w:i w:val="0"/>
          <w:color w:val="333333"/>
          <w:sz w:val="28"/>
        </w:rPr>
        <w:t>  необходимо создать педагогические условия развития интереса к музыкальной деятельности, а именно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- организовать предметно-развивающую среду в группе, на участке, обеспечить доступность музыкальных инструментов для детей, 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>- осуществлять индивидуальную работу с детьми в данном направлении.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333333"/>
          <w:sz w:val="28"/>
        </w:rPr>
      </w:pPr>
      <w:r>
        <w:rPr>
          <w:rFonts w:ascii="Times New Roman" w:hAnsi="Times New Roman"/>
          <w:b w:val="0"/>
          <w:i w:val="0"/>
          <w:color w:val="333333"/>
          <w:sz w:val="28"/>
        </w:rPr>
        <w:t xml:space="preserve">  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right"/>
        <w:rPr>
          <w:rFonts w:ascii="Times New Roman" w:hAnsi="Times New Roman"/>
          <w:b w:val="1"/>
          <w:i w:val="0"/>
          <w:color w:val="333333"/>
          <w:sz w:val="28"/>
        </w:rPr>
      </w:pPr>
      <w:r>
        <w:rPr>
          <w:rFonts w:ascii="Times New Roman" w:hAnsi="Times New Roman"/>
          <w:b w:val="1"/>
          <w:i w:val="0"/>
          <w:color w:val="333333"/>
          <w:sz w:val="28"/>
        </w:rPr>
        <w:t>Таблица 7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right"/>
        <w:rPr>
          <w:rFonts w:ascii="Times New Roman" w:hAnsi="Times New Roman"/>
          <w:b w:val="0"/>
          <w:i w:val="0"/>
          <w:color w:val="333333"/>
          <w:sz w:val="28"/>
        </w:rPr>
      </w:pPr>
    </w:p>
    <w:p>
      <w:pPr>
        <w:spacing w:lineRule="auto" w:line="240" w:after="0"/>
        <w:ind w:firstLine="7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Результаты мониторинга  музыкального развития детей дошкольного возраста  в образовательной области  «Художественно-эстетическое развитие» (музыка) в 202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учебный год</w:t>
      </w:r>
    </w:p>
    <w:p>
      <w:pPr>
        <w:spacing w:lineRule="auto" w:line="240" w:after="0"/>
        <w:ind w:firstLine="720"/>
        <w:jc w:val="center"/>
        <w:rPr>
          <w:rFonts w:ascii="Times New Roman" w:hAnsi="Times New Roman"/>
          <w:b w:val="1"/>
          <w:sz w:val="28"/>
        </w:rPr>
      </w:pPr>
    </w:p>
    <w:tbl>
      <w:tblPr>
        <w:tblW w:w="10075" w:type="dxa"/>
        <w:tblInd w:w="135" w:type="dxa"/>
        <w:tblLayout w:type="autofit"/>
        <w:tblCellMar>
          <w:left w:w="0" w:type="dxa"/>
          <w:right w:w="0" w:type="dxa"/>
        </w:tblCellMar>
      </w:tblPr>
      <w:tblGrid/>
      <w:tr>
        <w:trPr>
          <w:trHeight w:hRule="atLeast" w:val="766"/>
        </w:trPr>
        <w:tc>
          <w:tcPr>
            <w:tcW w:w="4546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Группа</w:t>
            </w:r>
          </w:p>
        </w:tc>
        <w:tc>
          <w:tcPr>
            <w:tcW w:w="5529" w:type="dxa"/>
            <w:gridSpan w:val="3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Начало года</w:t>
            </w:r>
          </w:p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(кол-во детей / %)</w:t>
            </w:r>
          </w:p>
        </w:tc>
      </w:tr>
      <w:tr>
        <w:trPr>
          <w:trHeight w:hRule="atLeast" w:val="766"/>
        </w:trPr>
        <w:tc>
          <w:tcPr>
            <w:tcW w:w="4546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16"/>
              </w:rPr>
            </w:pP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Низкий</w:t>
            </w:r>
          </w:p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уровень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Средний уровень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i w:val="1"/>
                <w:color w:val="333333"/>
                <w:sz w:val="28"/>
                <w:shd w:val="clear" w:fill="FFFFFF"/>
              </w:rPr>
              <w:t>Высокий уровень</w:t>
            </w:r>
          </w:p>
        </w:tc>
      </w:tr>
      <w:tr>
        <w:trPr>
          <w:trHeight w:hRule="atLeast" w:val="885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Младшая группа (3-4 года)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2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5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70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8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,5%</w:t>
            </w:r>
          </w:p>
        </w:tc>
      </w:tr>
      <w:tr>
        <w:trPr>
          <w:trHeight w:hRule="atLeast" w:val="1023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 Средняя группа (4-5 лет)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2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4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8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6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7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,6 %</w:t>
            </w:r>
          </w:p>
        </w:tc>
      </w:tr>
      <w:tr>
        <w:trPr>
          <w:trHeight w:hRule="atLeast" w:val="949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Старшая группа (5-6 лет)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3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,5%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6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7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2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2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,5%</w:t>
            </w:r>
          </w:p>
        </w:tc>
      </w:tr>
      <w:tr>
        <w:trPr>
          <w:trHeight w:hRule="atLeast" w:val="900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 Подготовительная группа (6-7 лет)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9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7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2,5%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8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,5%</w:t>
            </w:r>
          </w:p>
        </w:tc>
      </w:tr>
      <w:tr>
        <w:trPr>
          <w:trHeight w:hRule="atLeast" w:val="839"/>
        </w:trPr>
        <w:tc>
          <w:tcPr>
            <w:tcW w:w="454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Итого</w:t>
            </w:r>
          </w:p>
        </w:tc>
        <w:tc>
          <w:tcPr>
            <w:tcW w:w="1701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20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,9%</w:t>
            </w:r>
          </w:p>
        </w:tc>
        <w:tc>
          <w:tcPr>
            <w:tcW w:w="184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6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3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,5%</w:t>
            </w:r>
          </w:p>
        </w:tc>
        <w:tc>
          <w:tcPr>
            <w:tcW w:w="1985" w:type="dxa"/>
            <w:tcBorders>
              <w:top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shd w:val="clear" w:fill="FFFFFF"/>
              <w:spacing w:lineRule="atLeast" w:line="200" w:after="0"/>
              <w:jc w:val="center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9</w:t>
            </w:r>
            <w:r>
              <w:rPr>
                <w:rFonts w:ascii="Times New Roman" w:hAnsi="Times New Roman"/>
                <w:i w:val="1"/>
                <w:color w:val="333333"/>
                <w:sz w:val="28"/>
                <w:shd w:val="clear" w:fill="FFFFFF"/>
              </w:rPr>
              <w:t>,6%</w:t>
            </w:r>
          </w:p>
        </w:tc>
      </w:tr>
    </w:tbl>
    <w:p>
      <w:pPr>
        <w:spacing w:lineRule="auto" w:line="240" w:after="0"/>
        <w:ind w:firstLine="72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/>
        <w:ind w:firstLine="720"/>
        <w:jc w:val="center"/>
        <w:rPr>
          <w:rFonts w:ascii="Arial" w:hAnsi="Arial"/>
          <w:sz w:val="16"/>
        </w:rPr>
      </w:pPr>
    </w:p>
    <w:p>
      <w:pPr>
        <w:spacing w:lineRule="auto" w:line="240" w:after="0"/>
        <w:ind w:firstLine="720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Таблица 8</w:t>
      </w:r>
    </w:p>
    <w:p>
      <w:pPr>
        <w:spacing w:lineRule="auto" w:line="240" w:after="0"/>
        <w:ind w:firstLine="720"/>
        <w:jc w:val="right"/>
        <w:rPr>
          <w:rFonts w:ascii="Times New Roman" w:hAnsi="Times New Roman"/>
          <w:b w:val="1"/>
          <w:sz w:val="28"/>
        </w:rPr>
      </w:pPr>
    </w:p>
    <w:p>
      <w:pPr>
        <w:spacing w:lineRule="auto" w:line="240" w:after="0"/>
        <w:ind w:firstLine="72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Сравнительный анализ усвоения программного материала по образовательной области «Музыка» на начало и конец 202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/ 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учебного 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center"/>
        <w:rPr>
          <w:color w:val="auto"/>
        </w:rPr>
      </w:pPr>
    </w:p>
    <w:tbl>
      <w:tblPr>
        <w:tblStyle w:val="T1"/>
        <w:tblW w:w="0" w:type="auto"/>
        <w:tblInd w:w="0" w:type="dxa"/>
        <w:tblLayout w:type="autofit"/>
        <w:tblLook w:val="04A0"/>
      </w:tblPr>
      <w:tblGrid/>
      <w:tr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  <w:shd w:val="clear" w:fill="FFFFFF"/>
              </w:rPr>
              <w:t>Показатели группы</w:t>
            </w:r>
          </w:p>
        </w:tc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tLeast" w:line="200" w:after="0"/>
              <w:jc w:val="both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Низкий уровень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октябрь - май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tLeast" w:line="200" w:after="0"/>
              <w:jc w:val="both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Средний уровень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октябрь - май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tLeast" w:line="200" w:after="0"/>
              <w:jc w:val="both"/>
              <w:rPr>
                <w:rFonts w:ascii="Arial" w:hAnsi="Arial"/>
                <w:color w:val="333333"/>
                <w:sz w:val="14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Высокий уровень</w:t>
            </w:r>
            <w:r>
              <w:rPr>
                <w:rFonts w:ascii="Times New Roman" w:hAnsi="Times New Roman"/>
                <w:b w:val="1"/>
                <w:color w:val="333333"/>
                <w:sz w:val="28"/>
              </w:rPr>
              <w:t xml:space="preserve"> </w:t>
            </w:r>
          </w:p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</w:rPr>
              <w:t>октябрь - май</w:t>
            </w:r>
          </w:p>
        </w:tc>
      </w:tr>
      <w:tr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  <w:shd w:val="clear" w:fill="FFFFFF"/>
              </w:rPr>
              <w:t>Младшая группа</w:t>
            </w:r>
          </w:p>
        </w:tc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 xml:space="preserve">      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3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4, 4-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4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,8%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6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2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,4-5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5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8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,4 - 3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7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,8%</w:t>
            </w:r>
          </w:p>
        </w:tc>
      </w:tr>
      <w:tr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  <w:shd w:val="clear" w:fill="FFFFFF"/>
              </w:rPr>
              <w:t>Средняя группа</w:t>
            </w:r>
          </w:p>
        </w:tc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8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,9-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5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,3%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6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4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,6-4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9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,2%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8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,7-4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7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,6%</w:t>
            </w:r>
          </w:p>
        </w:tc>
      </w:tr>
      <w:tr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  <w:shd w:val="clear" w:fill="FFFFFF"/>
              </w:rPr>
              <w:t>Старшая группа</w:t>
            </w:r>
          </w:p>
        </w:tc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2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8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,7-4,8%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6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9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-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5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3%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9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,7-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50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,2</w:t>
            </w:r>
          </w:p>
        </w:tc>
      </w:tr>
      <w:tr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b w:val="1"/>
                <w:color w:val="333333"/>
                <w:sz w:val="28"/>
              </w:rPr>
            </w:pPr>
            <w:r>
              <w:rPr>
                <w:rFonts w:ascii="Times New Roman" w:hAnsi="Times New Roman"/>
                <w:b w:val="1"/>
                <w:color w:val="333333"/>
                <w:sz w:val="28"/>
                <w:shd w:val="clear" w:fill="FFFFFF"/>
              </w:rPr>
              <w:t>Подготовительная группа</w:t>
            </w:r>
          </w:p>
        </w:tc>
        <w:tc>
          <w:tcPr>
            <w:tcW w:w="247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2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3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-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4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,7%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70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-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5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4,5%</w:t>
            </w:r>
          </w:p>
        </w:tc>
        <w:tc>
          <w:tcPr>
            <w:tcW w:w="24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center"/>
              <w:rPr>
                <w:rFonts w:ascii="Times New Roman" w:hAnsi="Times New Roman"/>
                <w:color w:val="333333"/>
                <w:sz w:val="28"/>
              </w:rPr>
            </w:pP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1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5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-4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9</w:t>
            </w:r>
            <w:r>
              <w:rPr>
                <w:rFonts w:ascii="Times New Roman" w:hAnsi="Times New Roman"/>
                <w:color w:val="333333"/>
                <w:sz w:val="28"/>
                <w:shd w:val="clear" w:fill="FFFFFF"/>
              </w:rPr>
              <w:t>,3%</w:t>
            </w:r>
          </w:p>
        </w:tc>
      </w:tr>
    </w:tbl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center"/>
        <w:rPr>
          <w:color w:val="auto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color w:val="333333"/>
          <w:sz w:val="28"/>
          <w:shd w:val="clear" w:fill="FFFFFF"/>
        </w:rPr>
      </w:pPr>
      <w:r>
        <w:rPr>
          <w:rFonts w:ascii="Times New Roman" w:hAnsi="Times New Roman"/>
          <w:color w:val="333333"/>
          <w:sz w:val="28"/>
          <w:shd w:val="clear" w:fill="FFFFFF"/>
        </w:rPr>
        <w:t>Дети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активно проявляли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интерес к игре на детских музыкальных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инструментах,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</w:t>
      </w:r>
      <w:r>
        <w:rPr>
          <w:rFonts w:ascii="Times New Roman" w:hAnsi="Times New Roman"/>
          <w:color w:val="333333"/>
          <w:sz w:val="28"/>
          <w:shd w:val="clear" w:fill="FFFFFF"/>
        </w:rPr>
        <w:t>к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творчески</w:t>
      </w:r>
      <w:r>
        <w:rPr>
          <w:rFonts w:ascii="Times New Roman" w:hAnsi="Times New Roman"/>
          <w:color w:val="333333"/>
          <w:sz w:val="28"/>
          <w:shd w:val="clear" w:fill="FFFFFF"/>
        </w:rPr>
        <w:t>м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игр</w:t>
      </w:r>
      <w:bookmarkStart w:id="2" w:name="_dx_frag_StartFragment"/>
      <w:bookmarkEnd w:id="2"/>
      <w:r>
        <w:rPr>
          <w:rFonts w:ascii="Times New Roman" w:hAnsi="Times New Roman"/>
          <w:color w:val="333333"/>
          <w:sz w:val="28"/>
          <w:shd w:val="clear" w:fill="FFFFFF"/>
        </w:rPr>
        <w:t xml:space="preserve">ам, а также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смело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выражали </w:t>
      </w:r>
      <w:r>
        <w:rPr>
          <w:rFonts w:ascii="Times New Roman" w:hAnsi="Times New Roman"/>
          <w:b w:val="0"/>
          <w:i w:val="0"/>
          <w:color w:val="1A1A1A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1A1A1A"/>
          <w:sz w:val="28"/>
          <w:shd w:val="clear" w:fill="FFFFFF"/>
        </w:rPr>
        <w:t xml:space="preserve">своё </w:t>
      </w:r>
      <w:r>
        <w:rPr>
          <w:rFonts w:ascii="Times New Roman" w:hAnsi="Times New Roman"/>
          <w:b w:val="0"/>
          <w:i w:val="0"/>
          <w:color w:val="1A1A1A"/>
          <w:sz w:val="28"/>
          <w:shd w:val="clear" w:fill="FFFFFF"/>
        </w:rPr>
        <w:t>отно</w:t>
      </w:r>
      <w:r>
        <w:rPr>
          <w:rFonts w:ascii="Times New Roman" w:hAnsi="Times New Roman"/>
          <w:b w:val="0"/>
          <w:i w:val="0"/>
          <w:color w:val="1A1A1A"/>
          <w:sz w:val="28"/>
          <w:shd w:val="clear" w:fill="FFFFFF"/>
        </w:rPr>
        <w:t>шение к музыке</w:t>
      </w:r>
      <w:r>
        <w:rPr>
          <w:rFonts w:ascii="Times New Roman" w:hAnsi="Times New Roman"/>
          <w:b w:val="0"/>
          <w:i w:val="0"/>
          <w:color w:val="1A1A1A"/>
          <w:sz w:val="28"/>
          <w:shd w:val="clear" w:fill="FFFFFF"/>
        </w:rPr>
        <w:t>, проявляли музыкальные способности во всех видах музыкальной деятельности.</w:t>
      </w:r>
      <w:r>
        <w:rPr>
          <w:rFonts w:ascii="Times New Roman" w:hAnsi="Times New Roman"/>
          <w:b w:val="0"/>
          <w:i w:val="0"/>
          <w:color w:val="1A1A1A"/>
          <w:sz w:val="28"/>
          <w:shd w:val="clear" w:fill="FFFFFF"/>
        </w:rPr>
        <w:t xml:space="preserve">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Однако, есть те дети, которые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не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проявля</w:t>
      </w:r>
      <w:r>
        <w:rPr>
          <w:rFonts w:ascii="Times New Roman" w:hAnsi="Times New Roman"/>
          <w:color w:val="333333"/>
          <w:sz w:val="28"/>
          <w:shd w:val="clear" w:fill="FFFFFF"/>
        </w:rPr>
        <w:t>ли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интерес 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к музыкальной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</w:t>
      </w:r>
      <w:r>
        <w:rPr>
          <w:rFonts w:ascii="Times New Roman" w:hAnsi="Times New Roman"/>
          <w:color w:val="333333"/>
          <w:sz w:val="28"/>
          <w:shd w:val="clear" w:fill="FFFFFF"/>
        </w:rPr>
        <w:t>деятельности</w:t>
      </w:r>
      <w:r>
        <w:rPr>
          <w:rFonts w:ascii="Times New Roman" w:hAnsi="Times New Roman"/>
          <w:color w:val="333333"/>
          <w:sz w:val="28"/>
          <w:shd w:val="clear" w:fill="FFFFFF"/>
        </w:rPr>
        <w:t>,</w:t>
      </w:r>
      <w:r>
        <w:rPr>
          <w:rFonts w:ascii="Times New Roman" w:hAnsi="Times New Roman"/>
          <w:color w:val="333333"/>
          <w:sz w:val="28"/>
          <w:shd w:val="clear" w:fill="FFFFFF"/>
        </w:rPr>
        <w:t xml:space="preserve"> им требовалась помощь взрослого.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Рекомендации:</w:t>
      </w:r>
      <w:r>
        <w:rPr>
          <w:rFonts w:ascii="Times New Roman" w:hAnsi="Times New Roman"/>
          <w:color w:val="333333"/>
          <w:sz w:val="28"/>
        </w:rPr>
        <w:t>  </w:t>
      </w:r>
      <w:bookmarkStart w:id="3" w:name="_dx_frag_StartFragment"/>
      <w:bookmarkEnd w:id="3"/>
      <w:r>
        <w:rPr>
          <w:rFonts w:ascii="Times New Roman" w:hAnsi="Times New Roman"/>
          <w:color w:val="333333"/>
          <w:sz w:val="28"/>
        </w:rPr>
        <w:t xml:space="preserve">занятия по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музыкальному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развитию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детей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 следует проводить систематически и последовательно, использовать все виды музыкальной деятельности, применять разнообразные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 xml:space="preserve">интересные формы, </w:t>
      </w: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методы и приемы.</w:t>
      </w:r>
      <w:r>
        <w:rPr>
          <w:rFonts w:ascii="Times New Roman" w:hAnsi="Times New Roman"/>
          <w:sz w:val="28"/>
        </w:rPr>
        <w:t xml:space="preserve"> </w:t>
      </w:r>
    </w:p>
    <w:p>
      <w:pPr>
        <w:shd w:val="clear" w:fill="FFFFFF"/>
        <w:spacing w:lineRule="auto" w:line="240" w:after="0"/>
        <w:ind w:firstLine="72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 </w:t>
      </w:r>
    </w:p>
    <w:p>
      <w:pPr>
        <w:keepNext w:val="0"/>
        <w:widowControl w:val="1"/>
        <w:shd w:val="clear" w:fill="FFFFFF"/>
        <w:spacing w:lineRule="auto" w:line="240" w:before="0" w:after="0" w:beforeAutospacing="0" w:afterAutospacing="0"/>
        <w:ind w:firstLine="720" w:left="0" w:right="0"/>
        <w:jc w:val="both"/>
        <w:rPr>
          <w:color w:val="auto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